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6852"/>
      </w:tblGrid>
      <w:tr w:rsidR="00420D3E">
        <w:trPr>
          <w:trHeight w:val="716"/>
        </w:trPr>
        <w:tc>
          <w:tcPr>
            <w:tcW w:w="1593" w:type="dxa"/>
          </w:tcPr>
          <w:p w:rsidR="00420D3E" w:rsidRDefault="00420D3E" w:rsidP="004F440B">
            <w:pPr>
              <w:pStyle w:val="Heading1"/>
              <w:contextualSpacing/>
              <w:jc w:val="both"/>
            </w:pPr>
            <w: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5pt;height:38.3pt" o:ole="">
                  <v:imagedata r:id="rId4" o:title=""/>
                </v:shape>
                <o:OLEObject Type="Embed" ProgID="Imaging.Document" ShapeID="_x0000_i1025" DrawAspect="Content" ObjectID="_1425200848" r:id="rId5"/>
              </w:object>
            </w:r>
          </w:p>
          <w:p w:rsidR="00420D3E" w:rsidRDefault="00420D3E" w:rsidP="004F440B">
            <w:pPr>
              <w:contextualSpacing/>
              <w:jc w:val="both"/>
            </w:pPr>
          </w:p>
        </w:tc>
        <w:tc>
          <w:tcPr>
            <w:tcW w:w="6852" w:type="dxa"/>
          </w:tcPr>
          <w:p w:rsidR="00420D3E" w:rsidRPr="00AC4191" w:rsidRDefault="00420D3E" w:rsidP="004F440B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UNIVERSIDADE FEDERAL FLUMINENSE</w:t>
            </w:r>
          </w:p>
          <w:p w:rsidR="006C7980" w:rsidRDefault="00420D3E" w:rsidP="004F440B">
            <w:pPr>
              <w:contextualSpacing/>
              <w:jc w:val="both"/>
            </w:pPr>
            <w:r w:rsidRPr="00AC4191">
              <w:t>Instituto de Ciências Humanas e Filosofia</w:t>
            </w:r>
          </w:p>
          <w:p w:rsidR="00420D3E" w:rsidRDefault="00420D3E" w:rsidP="004F440B">
            <w:pPr>
              <w:contextualSpacing/>
              <w:jc w:val="both"/>
            </w:pPr>
            <w:r w:rsidRPr="00AC4191">
              <w:t>Departamento de Antropologi</w:t>
            </w:r>
            <w:r>
              <w:t>a</w:t>
            </w:r>
          </w:p>
        </w:tc>
      </w:tr>
    </w:tbl>
    <w:p w:rsidR="00420D3E" w:rsidRPr="006C7980" w:rsidRDefault="00420D3E" w:rsidP="00420D3E">
      <w:pPr>
        <w:pStyle w:val="Heading2"/>
        <w:contextualSpacing/>
        <w:jc w:val="center"/>
        <w:rPr>
          <w:rFonts w:ascii="Trebuchet MS" w:hAnsi="Trebuchet MS"/>
          <w:b w:val="0"/>
          <w:color w:val="auto"/>
          <w:sz w:val="22"/>
          <w:szCs w:val="20"/>
        </w:rPr>
      </w:pPr>
      <w:r w:rsidRPr="006C7980">
        <w:rPr>
          <w:rFonts w:ascii="Trebuchet MS" w:hAnsi="Trebuchet MS"/>
          <w:b w:val="0"/>
          <w:color w:val="auto"/>
          <w:sz w:val="22"/>
          <w:szCs w:val="20"/>
        </w:rPr>
        <w:t>PROGRAMA DE CURSO</w:t>
      </w:r>
    </w:p>
    <w:p w:rsidR="00420D3E" w:rsidRPr="000148B3" w:rsidRDefault="00420D3E" w:rsidP="00420D3E">
      <w:pPr>
        <w:pStyle w:val="Heading1"/>
        <w:contextualSpacing/>
        <w:rPr>
          <w:rFonts w:ascii="Trebuchet MS" w:hAnsi="Trebuchet MS"/>
          <w:b/>
          <w:sz w:val="20"/>
        </w:rPr>
      </w:pPr>
    </w:p>
    <w:p w:rsidR="00420D3E" w:rsidRPr="000148B3" w:rsidRDefault="00B723A7" w:rsidP="00420D3E">
      <w:pPr>
        <w:contextualSpacing/>
        <w:rPr>
          <w:rFonts w:ascii="Trebuchet MS" w:hAnsi="Trebuchet MS"/>
        </w:rPr>
      </w:pPr>
      <w:r>
        <w:rPr>
          <w:rFonts w:ascii="Trebuchet MS" w:hAnsi="Trebuchet MS"/>
        </w:rPr>
        <w:t>DISCIPLINA:</w:t>
      </w:r>
      <w:r w:rsidR="00420D3E" w:rsidRPr="000148B3">
        <w:rPr>
          <w:rFonts w:ascii="Trebuchet MS" w:hAnsi="Trebuchet MS"/>
        </w:rPr>
        <w:t xml:space="preserve"> ANTROPOLOGIA </w:t>
      </w:r>
      <w:r w:rsidR="00FE78A0">
        <w:rPr>
          <w:rFonts w:ascii="Trebuchet MS" w:hAnsi="Trebuchet MS"/>
        </w:rPr>
        <w:t>IV                              1º / 2017</w:t>
      </w:r>
    </w:p>
    <w:p w:rsidR="00420D3E" w:rsidRDefault="00420D3E" w:rsidP="00420D3E">
      <w:pPr>
        <w:contextualSpacing/>
        <w:rPr>
          <w:rFonts w:ascii="Trebuchet MS" w:hAnsi="Trebuchet MS"/>
        </w:rPr>
      </w:pPr>
      <w:r w:rsidRPr="000148B3">
        <w:rPr>
          <w:rFonts w:ascii="Trebuchet MS" w:hAnsi="Trebuchet MS"/>
        </w:rPr>
        <w:t xml:space="preserve">PROFESSORA: </w:t>
      </w:r>
      <w:r w:rsidR="00B723A7">
        <w:rPr>
          <w:rFonts w:ascii="Trebuchet MS" w:hAnsi="Trebuchet MS"/>
        </w:rPr>
        <w:t>SIMONE PONDÉ VASSALLO</w:t>
      </w:r>
    </w:p>
    <w:p w:rsidR="00420D3E" w:rsidRPr="000148B3" w:rsidRDefault="00420D3E" w:rsidP="00420D3E">
      <w:pPr>
        <w:contextualSpacing/>
        <w:rPr>
          <w:rFonts w:ascii="Trebuchet MS" w:hAnsi="Trebuchet MS"/>
        </w:rPr>
      </w:pPr>
      <w:r w:rsidRPr="000148B3">
        <w:rPr>
          <w:rFonts w:ascii="Trebuchet MS" w:hAnsi="Trebuchet MS"/>
        </w:rPr>
        <w:t>HORÁRIO: SEGUNDAS</w:t>
      </w:r>
      <w:r w:rsidR="00D70F05">
        <w:rPr>
          <w:rFonts w:ascii="Trebuchet MS" w:hAnsi="Trebuchet MS"/>
        </w:rPr>
        <w:t>-FEIRAS</w:t>
      </w:r>
      <w:r w:rsidRPr="000148B3">
        <w:rPr>
          <w:rFonts w:ascii="Trebuchet MS" w:hAnsi="Trebuchet MS"/>
        </w:rPr>
        <w:t xml:space="preserve"> </w:t>
      </w:r>
      <w:r w:rsidR="00D70F05">
        <w:rPr>
          <w:rFonts w:ascii="Trebuchet MS" w:hAnsi="Trebuchet MS"/>
        </w:rPr>
        <w:t>DE 14h ÀS 16h</w:t>
      </w:r>
      <w:r w:rsidR="00FE78A0">
        <w:rPr>
          <w:rFonts w:ascii="Trebuchet MS" w:hAnsi="Trebuchet MS"/>
        </w:rPr>
        <w:t xml:space="preserve"> </w:t>
      </w:r>
      <w:r w:rsidRPr="000148B3">
        <w:rPr>
          <w:rFonts w:ascii="Trebuchet MS" w:hAnsi="Trebuchet MS"/>
        </w:rPr>
        <w:t xml:space="preserve">E </w:t>
      </w:r>
      <w:r>
        <w:rPr>
          <w:rFonts w:ascii="Trebuchet MS" w:hAnsi="Trebuchet MS"/>
        </w:rPr>
        <w:t>QUAR</w:t>
      </w:r>
      <w:r w:rsidRPr="000148B3">
        <w:rPr>
          <w:rFonts w:ascii="Trebuchet MS" w:hAnsi="Trebuchet MS"/>
        </w:rPr>
        <w:t xml:space="preserve">TAS-FEIRAS </w:t>
      </w:r>
      <w:r w:rsidR="00FE78A0">
        <w:rPr>
          <w:rFonts w:ascii="Trebuchet MS" w:hAnsi="Trebuchet MS"/>
        </w:rPr>
        <w:t>DE</w:t>
      </w:r>
      <w:r w:rsidRPr="000148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16</w:t>
      </w:r>
      <w:r w:rsidRPr="000148B3">
        <w:rPr>
          <w:rFonts w:ascii="Trebuchet MS" w:hAnsi="Trebuchet MS"/>
        </w:rPr>
        <w:t xml:space="preserve">h ÀS </w:t>
      </w:r>
      <w:r>
        <w:rPr>
          <w:rFonts w:ascii="Trebuchet MS" w:hAnsi="Trebuchet MS"/>
        </w:rPr>
        <w:t xml:space="preserve">18h                         </w:t>
      </w:r>
    </w:p>
    <w:p w:rsidR="00420D3E" w:rsidRPr="000148B3" w:rsidRDefault="00420D3E" w:rsidP="00420D3E">
      <w:pPr>
        <w:contextualSpacing/>
      </w:pPr>
    </w:p>
    <w:p w:rsidR="00B723A7" w:rsidRPr="006C7980" w:rsidRDefault="00420D3E" w:rsidP="00420D3E">
      <w:pPr>
        <w:pStyle w:val="Estilo"/>
        <w:spacing w:line="259" w:lineRule="exact"/>
        <w:ind w:left="4"/>
        <w:contextualSpacing/>
        <w:jc w:val="both"/>
        <w:rPr>
          <w:rFonts w:ascii="Trebuchet MS" w:hAnsi="Trebuchet MS"/>
          <w:sz w:val="22"/>
          <w:szCs w:val="20"/>
        </w:rPr>
      </w:pPr>
      <w:r w:rsidRPr="006C7980">
        <w:rPr>
          <w:rFonts w:ascii="Trebuchet MS" w:hAnsi="Trebuchet MS"/>
          <w:b/>
          <w:snapToGrid w:val="0"/>
          <w:sz w:val="22"/>
          <w:szCs w:val="20"/>
        </w:rPr>
        <w:t xml:space="preserve">Ementa: </w:t>
      </w:r>
      <w:r w:rsidRPr="006C7980">
        <w:rPr>
          <w:rFonts w:ascii="Trebuchet MS" w:hAnsi="Trebuchet MS"/>
          <w:sz w:val="22"/>
          <w:szCs w:val="20"/>
        </w:rPr>
        <w:t xml:space="preserve">Desenvolvimento teórico da Antropologia. </w:t>
      </w:r>
      <w:r w:rsidR="00B723A7" w:rsidRPr="006C7980">
        <w:rPr>
          <w:rFonts w:ascii="Trebuchet MS" w:hAnsi="Trebuchet MS"/>
          <w:sz w:val="22"/>
          <w:szCs w:val="20"/>
        </w:rPr>
        <w:t>O estruturalismo</w:t>
      </w:r>
      <w:r w:rsidR="009B0386" w:rsidRPr="006C7980">
        <w:rPr>
          <w:rFonts w:ascii="Trebuchet MS" w:hAnsi="Trebuchet MS"/>
          <w:sz w:val="22"/>
          <w:szCs w:val="20"/>
        </w:rPr>
        <w:t xml:space="preserve"> de Lévi-Strauss</w:t>
      </w:r>
      <w:r w:rsidR="00D30FEB" w:rsidRPr="006C7980">
        <w:rPr>
          <w:rFonts w:ascii="Trebuchet MS" w:hAnsi="Trebuchet MS"/>
          <w:sz w:val="22"/>
          <w:szCs w:val="20"/>
        </w:rPr>
        <w:t xml:space="preserve"> e suas críticas. A antropologia pós-moderna. Temas de antropologia contemporânea. </w:t>
      </w:r>
    </w:p>
    <w:p w:rsidR="006C7980" w:rsidRDefault="006C7980" w:rsidP="00420D3E">
      <w:pPr>
        <w:contextualSpacing/>
        <w:rPr>
          <w:rFonts w:ascii="Trebuchet MS" w:hAnsi="Trebuchet MS"/>
        </w:rPr>
      </w:pPr>
    </w:p>
    <w:p w:rsidR="00420D3E" w:rsidRDefault="00420D3E" w:rsidP="00420D3E">
      <w:pPr>
        <w:contextualSpacing/>
        <w:rPr>
          <w:rFonts w:ascii="Trebuchet MS" w:hAnsi="Trebuchet MS"/>
        </w:rPr>
      </w:pPr>
    </w:p>
    <w:p w:rsidR="00BB4928" w:rsidRDefault="00BB4928" w:rsidP="00420D3E">
      <w:pPr>
        <w:contextualSpacing/>
        <w:rPr>
          <w:rFonts w:ascii="Trebuchet MS" w:hAnsi="Trebuchet MS"/>
          <w:snapToGrid w:val="0"/>
        </w:rPr>
      </w:pPr>
      <w:r w:rsidRPr="008A4605">
        <w:rPr>
          <w:rFonts w:ascii="Trebuchet MS" w:hAnsi="Trebuchet MS"/>
          <w:b/>
          <w:snapToGrid w:val="0"/>
        </w:rPr>
        <w:t>Conteúdo programático:</w:t>
      </w:r>
      <w:r>
        <w:rPr>
          <w:rFonts w:ascii="Trebuchet MS" w:hAnsi="Trebuchet MS"/>
          <w:snapToGrid w:val="0"/>
        </w:rPr>
        <w:t xml:space="preserve"> o curso será dividido em três unidades. Na primeira, discutiremos o estruturalismo de Claude Lévi-Strauss e algumas de suas principais noções, como estrutura, </w:t>
      </w:r>
      <w:r w:rsidR="00C05D43">
        <w:rPr>
          <w:rFonts w:ascii="Trebuchet MS" w:hAnsi="Trebuchet MS"/>
          <w:snapToGrid w:val="0"/>
        </w:rPr>
        <w:t>troca, na</w:t>
      </w:r>
      <w:r w:rsidR="00BD5862">
        <w:rPr>
          <w:rFonts w:ascii="Trebuchet MS" w:hAnsi="Trebuchet MS"/>
          <w:snapToGrid w:val="0"/>
        </w:rPr>
        <w:t>tureza e cultura.</w:t>
      </w:r>
      <w:r w:rsidR="00863FA5">
        <w:rPr>
          <w:rFonts w:ascii="Trebuchet MS" w:hAnsi="Trebuchet MS"/>
          <w:snapToGrid w:val="0"/>
        </w:rPr>
        <w:t xml:space="preserve"> </w:t>
      </w:r>
      <w:r w:rsidR="00875602">
        <w:rPr>
          <w:rFonts w:ascii="Trebuchet MS" w:hAnsi="Trebuchet MS"/>
          <w:snapToGrid w:val="0"/>
        </w:rPr>
        <w:t>Em seguida, veremos como o</w:t>
      </w:r>
      <w:r w:rsidR="0053412F">
        <w:rPr>
          <w:rFonts w:ascii="Trebuchet MS" w:hAnsi="Trebuchet MS"/>
          <w:snapToGrid w:val="0"/>
        </w:rPr>
        <w:t xml:space="preserve"> estruturalismo é reelaborado por</w:t>
      </w:r>
      <w:r w:rsidR="00875602">
        <w:rPr>
          <w:rFonts w:ascii="Trebuchet MS" w:hAnsi="Trebuchet MS"/>
          <w:snapToGrid w:val="0"/>
        </w:rPr>
        <w:t xml:space="preserve"> Pierre </w:t>
      </w:r>
      <w:proofErr w:type="spellStart"/>
      <w:r w:rsidR="0053412F">
        <w:rPr>
          <w:rFonts w:ascii="Trebuchet MS" w:hAnsi="Trebuchet MS"/>
          <w:snapToGrid w:val="0"/>
        </w:rPr>
        <w:t>Bourdieu</w:t>
      </w:r>
      <w:proofErr w:type="spellEnd"/>
      <w:r w:rsidR="0053412F">
        <w:rPr>
          <w:rFonts w:ascii="Trebuchet MS" w:hAnsi="Trebuchet MS"/>
          <w:snapToGrid w:val="0"/>
        </w:rPr>
        <w:t xml:space="preserve"> e</w:t>
      </w:r>
      <w:r w:rsidR="00875602">
        <w:rPr>
          <w:rFonts w:ascii="Trebuchet MS" w:hAnsi="Trebuchet MS"/>
          <w:snapToGrid w:val="0"/>
        </w:rPr>
        <w:t xml:space="preserve"> Pierre </w:t>
      </w:r>
      <w:proofErr w:type="spellStart"/>
      <w:r w:rsidR="00875602">
        <w:rPr>
          <w:rFonts w:ascii="Trebuchet MS" w:hAnsi="Trebuchet MS"/>
          <w:snapToGrid w:val="0"/>
        </w:rPr>
        <w:t>Clastres</w:t>
      </w:r>
      <w:proofErr w:type="spellEnd"/>
      <w:r w:rsidR="00875602">
        <w:rPr>
          <w:rFonts w:ascii="Trebuchet MS" w:hAnsi="Trebuchet MS"/>
          <w:snapToGrid w:val="0"/>
        </w:rPr>
        <w:t xml:space="preserve">. </w:t>
      </w:r>
      <w:r w:rsidR="00891346">
        <w:rPr>
          <w:rFonts w:ascii="Trebuchet MS" w:hAnsi="Trebuchet MS"/>
          <w:snapToGrid w:val="0"/>
        </w:rPr>
        <w:t xml:space="preserve">Na Unidade II, </w:t>
      </w:r>
      <w:r w:rsidR="00437DB5">
        <w:rPr>
          <w:rFonts w:ascii="Trebuchet MS" w:hAnsi="Trebuchet MS"/>
          <w:snapToGrid w:val="0"/>
        </w:rPr>
        <w:t>analisaremos</w:t>
      </w:r>
      <w:r w:rsidR="00891346">
        <w:rPr>
          <w:rFonts w:ascii="Trebuchet MS" w:hAnsi="Trebuchet MS"/>
          <w:snapToGrid w:val="0"/>
        </w:rPr>
        <w:t xml:space="preserve"> algumas das principais críticas e tentativas de superação do estruturalismo de Lévi-Strauss, a partir da </w:t>
      </w:r>
      <w:r w:rsidR="003B5E73">
        <w:rPr>
          <w:rFonts w:ascii="Trebuchet MS" w:hAnsi="Trebuchet MS"/>
          <w:snapToGrid w:val="0"/>
        </w:rPr>
        <w:t>antropologia da história,</w:t>
      </w:r>
      <w:r w:rsidR="00891346">
        <w:rPr>
          <w:rFonts w:ascii="Trebuchet MS" w:hAnsi="Trebuchet MS"/>
          <w:snapToGrid w:val="0"/>
        </w:rPr>
        <w:t xml:space="preserve"> de Marshall </w:t>
      </w:r>
      <w:proofErr w:type="spellStart"/>
      <w:r w:rsidR="00891346">
        <w:rPr>
          <w:rFonts w:ascii="Trebuchet MS" w:hAnsi="Trebuchet MS"/>
          <w:snapToGrid w:val="0"/>
        </w:rPr>
        <w:t>Sahlins</w:t>
      </w:r>
      <w:proofErr w:type="spellEnd"/>
      <w:r w:rsidR="003B5E73">
        <w:rPr>
          <w:rFonts w:ascii="Trebuchet MS" w:hAnsi="Trebuchet MS"/>
          <w:snapToGrid w:val="0"/>
        </w:rPr>
        <w:t>,</w:t>
      </w:r>
      <w:r w:rsidR="00891346">
        <w:rPr>
          <w:rFonts w:ascii="Trebuchet MS" w:hAnsi="Trebuchet MS"/>
          <w:snapToGrid w:val="0"/>
        </w:rPr>
        <w:t xml:space="preserve"> e da antropologia hermenêutica</w:t>
      </w:r>
      <w:r w:rsidR="003B5E73">
        <w:rPr>
          <w:rFonts w:ascii="Trebuchet MS" w:hAnsi="Trebuchet MS"/>
          <w:snapToGrid w:val="0"/>
        </w:rPr>
        <w:t>,</w:t>
      </w:r>
      <w:r w:rsidR="00891346">
        <w:rPr>
          <w:rFonts w:ascii="Trebuchet MS" w:hAnsi="Trebuchet MS"/>
          <w:snapToGrid w:val="0"/>
        </w:rPr>
        <w:t xml:space="preserve"> de Clifford </w:t>
      </w:r>
      <w:proofErr w:type="spellStart"/>
      <w:r w:rsidR="00891346">
        <w:rPr>
          <w:rFonts w:ascii="Trebuchet MS" w:hAnsi="Trebuchet MS"/>
          <w:snapToGrid w:val="0"/>
        </w:rPr>
        <w:t>Geertz</w:t>
      </w:r>
      <w:proofErr w:type="spellEnd"/>
      <w:r w:rsidR="003B5E73">
        <w:rPr>
          <w:rFonts w:ascii="Trebuchet MS" w:hAnsi="Trebuchet MS"/>
          <w:snapToGrid w:val="0"/>
        </w:rPr>
        <w:t>.</w:t>
      </w:r>
      <w:r w:rsidR="0053412F">
        <w:rPr>
          <w:rFonts w:ascii="Trebuchet MS" w:hAnsi="Trebuchet MS"/>
          <w:snapToGrid w:val="0"/>
        </w:rPr>
        <w:t xml:space="preserve"> </w:t>
      </w:r>
      <w:r w:rsidR="00437DB5">
        <w:rPr>
          <w:rFonts w:ascii="Trebuchet MS" w:hAnsi="Trebuchet MS"/>
          <w:snapToGrid w:val="0"/>
        </w:rPr>
        <w:t xml:space="preserve">Por fim, na Unidade II, abordaremos algumas perspectivas mais contemporâneas da antropologia, como a antropologia pós-moderna, o pós-colonialismo, a questão do gênero e a antropologia simétrica. </w:t>
      </w:r>
    </w:p>
    <w:p w:rsidR="006C7980" w:rsidRDefault="006C7980" w:rsidP="00420D3E">
      <w:pPr>
        <w:contextualSpacing/>
        <w:rPr>
          <w:rFonts w:ascii="Trebuchet MS" w:hAnsi="Trebuchet MS"/>
          <w:snapToGrid w:val="0"/>
        </w:rPr>
      </w:pPr>
    </w:p>
    <w:p w:rsidR="002C5474" w:rsidRDefault="002C5474" w:rsidP="00420D3E">
      <w:pPr>
        <w:contextualSpacing/>
        <w:rPr>
          <w:rFonts w:ascii="Trebuchet MS" w:hAnsi="Trebuchet MS"/>
          <w:snapToGrid w:val="0"/>
        </w:rPr>
      </w:pPr>
    </w:p>
    <w:p w:rsidR="002C5474" w:rsidRDefault="002C5474" w:rsidP="002C5474">
      <w:pPr>
        <w:contextualSpacing/>
        <w:rPr>
          <w:rFonts w:ascii="Trebuchet MS" w:hAnsi="Trebuchet MS"/>
          <w:snapToGrid w:val="0"/>
        </w:rPr>
      </w:pPr>
      <w:r w:rsidRPr="000148B3">
        <w:rPr>
          <w:rFonts w:ascii="Trebuchet MS" w:hAnsi="Trebuchet MS"/>
          <w:b/>
          <w:snapToGrid w:val="0"/>
        </w:rPr>
        <w:t xml:space="preserve">Avaliação: </w:t>
      </w:r>
      <w:r w:rsidRPr="00807B30">
        <w:rPr>
          <w:rFonts w:ascii="Trebuchet MS" w:hAnsi="Trebuchet MS"/>
          <w:snapToGrid w:val="0"/>
        </w:rPr>
        <w:t>Participação em sala de aula, estudos dirigidos</w:t>
      </w:r>
      <w:r w:rsidRPr="00352347">
        <w:rPr>
          <w:rFonts w:ascii="Trebuchet MS" w:hAnsi="Trebuchet MS"/>
          <w:snapToGrid w:val="0"/>
        </w:rPr>
        <w:t xml:space="preserve">, </w:t>
      </w:r>
      <w:r>
        <w:rPr>
          <w:rFonts w:ascii="Trebuchet MS" w:hAnsi="Trebuchet MS"/>
          <w:snapToGrid w:val="0"/>
        </w:rPr>
        <w:t>seminários em grupo. Ao final da Unidade III será realizada uma prova presencial.</w:t>
      </w:r>
    </w:p>
    <w:p w:rsidR="00807B30" w:rsidRDefault="00807B30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CE3935" w:rsidRDefault="00CE3935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607084" w:rsidRDefault="00607084" w:rsidP="00420D3E">
      <w:pPr>
        <w:contextualSpacing/>
        <w:rPr>
          <w:rFonts w:ascii="Trebuchet MS" w:hAnsi="Trebuchet MS"/>
          <w:snapToGrid w:val="0"/>
          <w:u w:val="single"/>
        </w:rPr>
      </w:pPr>
      <w:r>
        <w:rPr>
          <w:rFonts w:ascii="Trebuchet MS" w:hAnsi="Trebuchet MS"/>
          <w:snapToGrid w:val="0"/>
          <w:u w:val="single"/>
        </w:rPr>
        <w:t xml:space="preserve">UNIDADE I: </w:t>
      </w:r>
      <w:r w:rsidR="008B7CC2">
        <w:rPr>
          <w:rFonts w:ascii="Trebuchet MS" w:hAnsi="Trebuchet MS"/>
          <w:snapToGrid w:val="0"/>
          <w:u w:val="single"/>
        </w:rPr>
        <w:t>O estruturalismo e suas críticas: França</w:t>
      </w:r>
    </w:p>
    <w:p w:rsidR="008B7CC2" w:rsidRDefault="008B7CC2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A82D27" w:rsidRPr="006C7980" w:rsidRDefault="00984D3E" w:rsidP="00A82D27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>LÉVI-STRAUSS, Claude.</w:t>
      </w:r>
      <w:r w:rsidR="00A82D27" w:rsidRPr="006C7980">
        <w:rPr>
          <w:rFonts w:ascii="Trebuchet MS" w:hAnsi="Trebuchet MS"/>
          <w:snapToGrid w:val="0"/>
        </w:rPr>
        <w:t xml:space="preserve"> </w:t>
      </w:r>
      <w:r w:rsidR="009767F5" w:rsidRPr="006C7980">
        <w:rPr>
          <w:rFonts w:ascii="Trebuchet MS" w:hAnsi="Trebuchet MS"/>
          <w:snapToGrid w:val="0"/>
        </w:rPr>
        <w:t xml:space="preserve">Cap. 1 “Natureza e cultura” e cap. 2 “O problema do incesto”. In: Estruturas elementares do parentesco.Petrópolis, Ed. Vozes, 1982. Pp. 41 a 63. </w:t>
      </w:r>
    </w:p>
    <w:p w:rsidR="003128FE" w:rsidRPr="006C7980" w:rsidRDefault="003128FE" w:rsidP="00A82D27">
      <w:pPr>
        <w:contextualSpacing/>
        <w:rPr>
          <w:rFonts w:ascii="Trebuchet MS" w:hAnsi="Trebuchet MS"/>
          <w:snapToGrid w:val="0"/>
        </w:rPr>
      </w:pPr>
    </w:p>
    <w:p w:rsidR="006C7980" w:rsidRDefault="00984D3E" w:rsidP="00984D3E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 xml:space="preserve"> __________________. “Introdução à Obra de Marcel </w:t>
      </w:r>
      <w:proofErr w:type="spellStart"/>
      <w:r w:rsidRPr="006C7980">
        <w:rPr>
          <w:rFonts w:ascii="Trebuchet MS" w:hAnsi="Trebuchet MS"/>
          <w:snapToGrid w:val="0"/>
        </w:rPr>
        <w:t>Mauss</w:t>
      </w:r>
      <w:proofErr w:type="spellEnd"/>
      <w:r w:rsidRPr="006C7980">
        <w:rPr>
          <w:rFonts w:ascii="Trebuchet MS" w:hAnsi="Trebuchet MS"/>
          <w:snapToGrid w:val="0"/>
        </w:rPr>
        <w:t xml:space="preserve">”. In: MAUSS, Marcel. </w:t>
      </w:r>
      <w:r w:rsidRPr="006C7980">
        <w:rPr>
          <w:rFonts w:ascii="Trebuchet MS" w:hAnsi="Trebuchet MS"/>
          <w:i/>
          <w:snapToGrid w:val="0"/>
        </w:rPr>
        <w:t>Sociologia e Antropologia.</w:t>
      </w:r>
      <w:r w:rsidRPr="006C7980">
        <w:rPr>
          <w:rFonts w:ascii="Trebuchet MS" w:hAnsi="Trebuchet MS"/>
          <w:snapToGrid w:val="0"/>
        </w:rPr>
        <w:t xml:space="preserve"> São Paulo: </w:t>
      </w:r>
      <w:proofErr w:type="spellStart"/>
      <w:r w:rsidRPr="006C7980">
        <w:rPr>
          <w:rFonts w:ascii="Trebuchet MS" w:hAnsi="Trebuchet MS"/>
          <w:snapToGrid w:val="0"/>
        </w:rPr>
        <w:t>Cosac</w:t>
      </w:r>
      <w:proofErr w:type="spellEnd"/>
      <w:r w:rsidRPr="006C7980">
        <w:rPr>
          <w:rFonts w:ascii="Trebuchet MS" w:hAnsi="Trebuchet MS"/>
          <w:snapToGrid w:val="0"/>
        </w:rPr>
        <w:t xml:space="preserve"> </w:t>
      </w:r>
      <w:proofErr w:type="spellStart"/>
      <w:r w:rsidRPr="006C7980">
        <w:rPr>
          <w:rFonts w:ascii="Trebuchet MS" w:hAnsi="Trebuchet MS"/>
          <w:snapToGrid w:val="0"/>
        </w:rPr>
        <w:t>Naify</w:t>
      </w:r>
      <w:proofErr w:type="spellEnd"/>
      <w:r w:rsidRPr="006C7980">
        <w:rPr>
          <w:rFonts w:ascii="Trebuchet MS" w:hAnsi="Trebuchet MS"/>
          <w:snapToGrid w:val="0"/>
        </w:rPr>
        <w:t>, 2003 [1950] (pp. 11-45).</w:t>
      </w:r>
    </w:p>
    <w:p w:rsidR="00984D3E" w:rsidRPr="006C7980" w:rsidRDefault="00984D3E" w:rsidP="00984D3E">
      <w:pPr>
        <w:contextualSpacing/>
        <w:rPr>
          <w:rFonts w:ascii="Trebuchet MS" w:hAnsi="Trebuchet MS"/>
          <w:snapToGrid w:val="0"/>
        </w:rPr>
      </w:pPr>
    </w:p>
    <w:p w:rsidR="006C7980" w:rsidRDefault="00984D3E" w:rsidP="00A82D27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 xml:space="preserve">__________________. </w:t>
      </w:r>
      <w:r w:rsidR="00A82D27" w:rsidRPr="006C7980">
        <w:rPr>
          <w:rFonts w:ascii="Trebuchet MS" w:hAnsi="Trebuchet MS"/>
          <w:snapToGrid w:val="0"/>
        </w:rPr>
        <w:t xml:space="preserve">“A ciência do concreto”. In: O pensamento selvagem. Campinas, Ed. </w:t>
      </w:r>
      <w:proofErr w:type="spellStart"/>
      <w:r w:rsidR="00A82D27" w:rsidRPr="006C7980">
        <w:rPr>
          <w:rFonts w:ascii="Trebuchet MS" w:hAnsi="Trebuchet MS"/>
          <w:snapToGrid w:val="0"/>
        </w:rPr>
        <w:t>Papirus</w:t>
      </w:r>
      <w:proofErr w:type="spellEnd"/>
      <w:r w:rsidR="00A82D27" w:rsidRPr="006C7980">
        <w:rPr>
          <w:rFonts w:ascii="Trebuchet MS" w:hAnsi="Trebuchet MS"/>
          <w:snapToGrid w:val="0"/>
        </w:rPr>
        <w:t>, 1989.</w:t>
      </w:r>
    </w:p>
    <w:p w:rsidR="00A82D27" w:rsidRPr="006C7980" w:rsidRDefault="00A82D27" w:rsidP="00A82D27">
      <w:pPr>
        <w:contextualSpacing/>
        <w:rPr>
          <w:rFonts w:ascii="Trebuchet MS" w:hAnsi="Trebuchet MS"/>
          <w:snapToGrid w:val="0"/>
        </w:rPr>
      </w:pPr>
    </w:p>
    <w:p w:rsidR="006C7980" w:rsidRDefault="00984D3E" w:rsidP="00984D3E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 xml:space="preserve">__________________. “A gesta de </w:t>
      </w:r>
      <w:proofErr w:type="spellStart"/>
      <w:r w:rsidRPr="006C7980">
        <w:rPr>
          <w:rFonts w:ascii="Trebuchet MS" w:hAnsi="Trebuchet MS"/>
          <w:snapToGrid w:val="0"/>
        </w:rPr>
        <w:t>Asdiwal</w:t>
      </w:r>
      <w:proofErr w:type="spellEnd"/>
      <w:r w:rsidRPr="006C7980">
        <w:rPr>
          <w:rFonts w:ascii="Trebuchet MS" w:hAnsi="Trebuchet MS"/>
          <w:snapToGrid w:val="0"/>
        </w:rPr>
        <w:t>”. In: Antropologia estrutural II. Rio de Janeiro, Ed. Tempo Brasileiro, 1976.</w:t>
      </w:r>
    </w:p>
    <w:p w:rsidR="00984D3E" w:rsidRPr="006C7980" w:rsidRDefault="00984D3E" w:rsidP="00984D3E">
      <w:pPr>
        <w:contextualSpacing/>
        <w:rPr>
          <w:rFonts w:ascii="Trebuchet MS" w:hAnsi="Trebuchet MS"/>
          <w:snapToGrid w:val="0"/>
        </w:rPr>
      </w:pPr>
    </w:p>
    <w:p w:rsidR="0063462E" w:rsidRPr="006C7980" w:rsidRDefault="0063462E" w:rsidP="0063462E">
      <w:pPr>
        <w:pStyle w:val="BodyText"/>
        <w:contextualSpacing/>
        <w:rPr>
          <w:rFonts w:ascii="Trebuchet MS" w:hAnsi="Trebuchet MS"/>
          <w:snapToGrid w:val="0"/>
          <w:sz w:val="22"/>
          <w:szCs w:val="20"/>
        </w:rPr>
      </w:pPr>
      <w:r w:rsidRPr="006C7980">
        <w:rPr>
          <w:rFonts w:ascii="Trebuchet MS" w:hAnsi="Trebuchet MS"/>
          <w:snapToGrid w:val="0"/>
          <w:sz w:val="22"/>
          <w:szCs w:val="20"/>
        </w:rPr>
        <w:t xml:space="preserve">BOURDIEU, Pierre. A casa </w:t>
      </w:r>
      <w:proofErr w:type="spellStart"/>
      <w:r w:rsidRPr="006C7980">
        <w:rPr>
          <w:rFonts w:ascii="Trebuchet MS" w:hAnsi="Trebuchet MS"/>
          <w:snapToGrid w:val="0"/>
          <w:sz w:val="22"/>
          <w:szCs w:val="20"/>
        </w:rPr>
        <w:t>kabyle</w:t>
      </w:r>
      <w:proofErr w:type="spellEnd"/>
      <w:r w:rsidRPr="006C7980">
        <w:rPr>
          <w:rFonts w:ascii="Trebuchet MS" w:hAnsi="Trebuchet MS"/>
          <w:snapToGrid w:val="0"/>
          <w:sz w:val="22"/>
          <w:szCs w:val="20"/>
        </w:rPr>
        <w:t xml:space="preserve"> ou o mundo às avessas. Cadernos de campo, ano IX, n. 8, 1999.</w:t>
      </w:r>
    </w:p>
    <w:p w:rsidR="0063462E" w:rsidRPr="006C7980" w:rsidRDefault="0063462E" w:rsidP="00863FA5">
      <w:pPr>
        <w:contextualSpacing/>
        <w:rPr>
          <w:rFonts w:ascii="Trebuchet MS" w:hAnsi="Trebuchet MS"/>
          <w:snapToGrid w:val="0"/>
        </w:rPr>
      </w:pPr>
    </w:p>
    <w:p w:rsidR="00863FA5" w:rsidRPr="006C7980" w:rsidRDefault="00863FA5" w:rsidP="00863FA5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>CLASTRES, Pierre. “A sociedade contra o Estado”. In: A sociedade contra o Estado. O Porto, Ed. Afrontamento, 1979.</w:t>
      </w:r>
    </w:p>
    <w:p w:rsidR="00863FA5" w:rsidRDefault="00863FA5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863FA5" w:rsidRDefault="00863FA5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6C7980" w:rsidRDefault="006C7980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8B7CC2" w:rsidRDefault="008B7CC2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175749" w:rsidRDefault="008B7CC2" w:rsidP="00420D3E">
      <w:pPr>
        <w:contextualSpacing/>
        <w:rPr>
          <w:rFonts w:ascii="Trebuchet MS" w:hAnsi="Trebuchet MS"/>
          <w:snapToGrid w:val="0"/>
          <w:u w:val="single"/>
        </w:rPr>
      </w:pPr>
      <w:r>
        <w:rPr>
          <w:rFonts w:ascii="Trebuchet MS" w:hAnsi="Trebuchet MS"/>
          <w:snapToGrid w:val="0"/>
          <w:u w:val="single"/>
        </w:rPr>
        <w:t xml:space="preserve">UNIDADE II: </w:t>
      </w:r>
      <w:r w:rsidR="00175749">
        <w:rPr>
          <w:rFonts w:ascii="Trebuchet MS" w:hAnsi="Trebuchet MS"/>
          <w:snapToGrid w:val="0"/>
          <w:u w:val="single"/>
        </w:rPr>
        <w:t xml:space="preserve">As críticas ao </w:t>
      </w:r>
      <w:r w:rsidR="00175749" w:rsidRPr="006C7980">
        <w:rPr>
          <w:rFonts w:ascii="Trebuchet MS" w:hAnsi="Trebuchet MS"/>
          <w:snapToGrid w:val="0"/>
          <w:u w:val="single"/>
        </w:rPr>
        <w:t xml:space="preserve">estruturalismo: </w:t>
      </w:r>
      <w:r w:rsidR="00CA6F5B" w:rsidRPr="006C7980">
        <w:rPr>
          <w:rFonts w:ascii="Trebuchet MS" w:hAnsi="Trebuchet MS"/>
          <w:snapToGrid w:val="0"/>
          <w:u w:val="single"/>
        </w:rPr>
        <w:t>antropologia da história e antropologia hermenêutica</w:t>
      </w:r>
    </w:p>
    <w:p w:rsidR="00CA6F5B" w:rsidRDefault="00CA6F5B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924C15" w:rsidRDefault="00924C15" w:rsidP="00924C15">
      <w:pPr>
        <w:contextualSpacing/>
        <w:rPr>
          <w:rFonts w:ascii="Trebuchet MS" w:hAnsi="Trebuchet MS"/>
          <w:snapToGrid w:val="0"/>
        </w:rPr>
      </w:pPr>
      <w:r w:rsidRPr="00623EDB">
        <w:rPr>
          <w:rFonts w:ascii="Trebuchet MS" w:hAnsi="Trebuchet MS"/>
          <w:snapToGrid w:val="0"/>
        </w:rPr>
        <w:t xml:space="preserve">SAHLINS, Marshall. </w:t>
      </w:r>
      <w:r w:rsidRPr="00CA698B">
        <w:rPr>
          <w:rFonts w:ascii="Trebuchet MS" w:hAnsi="Trebuchet MS"/>
          <w:snapToGrid w:val="0"/>
        </w:rPr>
        <w:t xml:space="preserve">“Introdução” e “La </w:t>
      </w:r>
      <w:proofErr w:type="spellStart"/>
      <w:r w:rsidRPr="00CA698B">
        <w:rPr>
          <w:rFonts w:ascii="Trebuchet MS" w:hAnsi="Trebuchet MS"/>
          <w:snapToGrid w:val="0"/>
        </w:rPr>
        <w:t>pensée</w:t>
      </w:r>
      <w:proofErr w:type="spellEnd"/>
      <w:r w:rsidRPr="00CA698B">
        <w:rPr>
          <w:rFonts w:ascii="Trebuchet MS" w:hAnsi="Trebuchet MS"/>
          <w:snapToGrid w:val="0"/>
        </w:rPr>
        <w:t xml:space="preserve"> </w:t>
      </w:r>
      <w:proofErr w:type="spellStart"/>
      <w:r w:rsidRPr="00CA698B">
        <w:rPr>
          <w:rFonts w:ascii="Trebuchet MS" w:hAnsi="Trebuchet MS"/>
          <w:snapToGrid w:val="0"/>
        </w:rPr>
        <w:t>bourgeoise</w:t>
      </w:r>
      <w:proofErr w:type="spellEnd"/>
      <w:r w:rsidRPr="00CA698B">
        <w:rPr>
          <w:rFonts w:ascii="Trebuchet MS" w:hAnsi="Trebuchet MS"/>
          <w:snapToGrid w:val="0"/>
        </w:rPr>
        <w:t xml:space="preserve"> : a sociedade ocidental enquanto cultura”. In : </w:t>
      </w:r>
      <w:r>
        <w:rPr>
          <w:rFonts w:ascii="Trebuchet MS" w:hAnsi="Trebuchet MS"/>
          <w:snapToGrid w:val="0"/>
        </w:rPr>
        <w:t xml:space="preserve">Cultura e razão prática. Rio de Janeiro, Jorge </w:t>
      </w:r>
      <w:proofErr w:type="spellStart"/>
      <w:r>
        <w:rPr>
          <w:rFonts w:ascii="Trebuchet MS" w:hAnsi="Trebuchet MS"/>
          <w:snapToGrid w:val="0"/>
        </w:rPr>
        <w:t>Zahar</w:t>
      </w:r>
      <w:proofErr w:type="spellEnd"/>
      <w:r>
        <w:rPr>
          <w:rFonts w:ascii="Trebuchet MS" w:hAnsi="Trebuchet MS"/>
          <w:snapToGrid w:val="0"/>
        </w:rPr>
        <w:t xml:space="preserve"> Editor, 2003.</w:t>
      </w:r>
    </w:p>
    <w:p w:rsidR="00924C15" w:rsidRDefault="00924C15" w:rsidP="00924C15">
      <w:pPr>
        <w:contextualSpacing/>
        <w:rPr>
          <w:rFonts w:ascii="Trebuchet MS" w:hAnsi="Trebuchet MS"/>
          <w:snapToGrid w:val="0"/>
        </w:rPr>
      </w:pPr>
    </w:p>
    <w:p w:rsidR="00924C15" w:rsidRDefault="00924C15" w:rsidP="00924C15">
      <w:pPr>
        <w:contextualSpacing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__________________. “Outras épocas, outros costumes: a antropologia da história”. In: Ilhas de história. Rio de Janeiro, Jorge </w:t>
      </w:r>
      <w:proofErr w:type="spellStart"/>
      <w:r>
        <w:rPr>
          <w:rFonts w:ascii="Trebuchet MS" w:hAnsi="Trebuchet MS"/>
          <w:snapToGrid w:val="0"/>
        </w:rPr>
        <w:t>Zahar</w:t>
      </w:r>
      <w:proofErr w:type="spellEnd"/>
      <w:r>
        <w:rPr>
          <w:rFonts w:ascii="Trebuchet MS" w:hAnsi="Trebuchet MS"/>
          <w:snapToGrid w:val="0"/>
        </w:rPr>
        <w:t xml:space="preserve"> Editor, 1990.</w:t>
      </w:r>
    </w:p>
    <w:p w:rsidR="00924C15" w:rsidRDefault="00924C15" w:rsidP="00B23112">
      <w:pPr>
        <w:contextualSpacing/>
        <w:rPr>
          <w:rFonts w:ascii="Trebuchet MS" w:hAnsi="Trebuchet MS"/>
          <w:snapToGrid w:val="0"/>
        </w:rPr>
      </w:pPr>
    </w:p>
    <w:p w:rsidR="00B23112" w:rsidRDefault="00B23112" w:rsidP="00B23112">
      <w:pPr>
        <w:contextualSpacing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GEERTZ, Clifford. “Uma descrição densa: por uma teoria interpretativa da cultura” e “Um jogo absorvente: notas sobre a briga de galos balinesa”. In: A interpretação das culturas. Ed. LTC, 1989. </w:t>
      </w:r>
    </w:p>
    <w:p w:rsidR="00B23112" w:rsidRDefault="00B23112" w:rsidP="00B23112">
      <w:pPr>
        <w:contextualSpacing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__________________. “Do ponto de vista dos nativos: a natureza do entendimento antropológico”. In: O saber local. Petrópolis, Ed. Vozes, 1997.</w:t>
      </w:r>
    </w:p>
    <w:p w:rsidR="00175749" w:rsidRDefault="00175749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A730C4" w:rsidRDefault="00A730C4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B23112" w:rsidRDefault="00B23112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175749" w:rsidRDefault="00175749" w:rsidP="00420D3E">
      <w:pPr>
        <w:contextualSpacing/>
        <w:rPr>
          <w:rFonts w:ascii="Trebuchet MS" w:hAnsi="Trebuchet MS"/>
          <w:snapToGrid w:val="0"/>
          <w:u w:val="single"/>
        </w:rPr>
      </w:pPr>
      <w:r>
        <w:rPr>
          <w:rFonts w:ascii="Trebuchet MS" w:hAnsi="Trebuchet MS"/>
          <w:snapToGrid w:val="0"/>
          <w:u w:val="single"/>
        </w:rPr>
        <w:t xml:space="preserve">UNIDADE III: </w:t>
      </w:r>
      <w:r w:rsidR="001E0E09">
        <w:rPr>
          <w:rFonts w:ascii="Trebuchet MS" w:hAnsi="Trebuchet MS"/>
          <w:snapToGrid w:val="0"/>
          <w:u w:val="single"/>
        </w:rPr>
        <w:t>perspectivas contemporâneas</w:t>
      </w:r>
      <w:r>
        <w:rPr>
          <w:rFonts w:ascii="Trebuchet MS" w:hAnsi="Trebuchet MS"/>
          <w:snapToGrid w:val="0"/>
          <w:u w:val="single"/>
        </w:rPr>
        <w:t>: pó</w:t>
      </w:r>
      <w:r w:rsidR="00984D3E">
        <w:rPr>
          <w:rFonts w:ascii="Trebuchet MS" w:hAnsi="Trebuchet MS"/>
          <w:snapToGrid w:val="0"/>
          <w:u w:val="single"/>
        </w:rPr>
        <w:t>s-modernismo, pós-colonialismo,</w:t>
      </w:r>
      <w:r>
        <w:rPr>
          <w:rFonts w:ascii="Trebuchet MS" w:hAnsi="Trebuchet MS"/>
          <w:snapToGrid w:val="0"/>
          <w:u w:val="single"/>
        </w:rPr>
        <w:t xml:space="preserve"> questões de gênero</w:t>
      </w:r>
      <w:r w:rsidR="00984D3E">
        <w:rPr>
          <w:rFonts w:ascii="Trebuchet MS" w:hAnsi="Trebuchet MS"/>
          <w:snapToGrid w:val="0"/>
          <w:u w:val="single"/>
        </w:rPr>
        <w:t>, antropologia simétrica</w:t>
      </w:r>
    </w:p>
    <w:p w:rsidR="00D904AA" w:rsidRDefault="00D904AA" w:rsidP="00420D3E">
      <w:pPr>
        <w:contextualSpacing/>
        <w:rPr>
          <w:rFonts w:ascii="Trebuchet MS" w:hAnsi="Trebuchet MS"/>
          <w:snapToGrid w:val="0"/>
          <w:u w:val="single"/>
        </w:rPr>
      </w:pPr>
    </w:p>
    <w:p w:rsidR="006C7980" w:rsidRDefault="00095678" w:rsidP="00D904AA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 xml:space="preserve">CLIFFORD, James. “Sobre a autoridade etnográfica”. In: GONÇALVES, R. (org.). A experiência etnográfica. Antropologia e literatura no séc. XX. </w:t>
      </w:r>
      <w:r w:rsidR="006C7980">
        <w:rPr>
          <w:rFonts w:ascii="Trebuchet MS" w:hAnsi="Trebuchet MS"/>
          <w:snapToGrid w:val="0"/>
        </w:rPr>
        <w:t>Rio de Janeiro, Ed. UFRJ, 2008.</w:t>
      </w:r>
    </w:p>
    <w:p w:rsidR="00D904AA" w:rsidRPr="006C7980" w:rsidRDefault="00D904AA" w:rsidP="00D904AA">
      <w:pPr>
        <w:contextualSpacing/>
        <w:rPr>
          <w:rFonts w:ascii="Trebuchet MS" w:hAnsi="Trebuchet MS"/>
          <w:snapToGrid w:val="0"/>
        </w:rPr>
      </w:pPr>
    </w:p>
    <w:p w:rsidR="006C7980" w:rsidRDefault="00EF5891" w:rsidP="00D904AA">
      <w:pPr>
        <w:contextualSpacing/>
        <w:rPr>
          <w:rFonts w:ascii="Trebuchet MS" w:hAnsi="Trebuchet MS"/>
          <w:snapToGrid w:val="0"/>
          <w:szCs w:val="20"/>
        </w:rPr>
      </w:pPr>
      <w:r w:rsidRPr="006C7980">
        <w:rPr>
          <w:rFonts w:ascii="Trebuchet MS" w:hAnsi="Trebuchet MS"/>
          <w:snapToGrid w:val="0"/>
          <w:szCs w:val="20"/>
        </w:rPr>
        <w:t>CALDEIRA, Teresa P. “A presença do autor e a pós-modernidade em antropologia”. Novos Estudos CEBRAP, n. 21, p. 133-157, julho de 1988.</w:t>
      </w:r>
    </w:p>
    <w:p w:rsidR="00EF5891" w:rsidRPr="006C7980" w:rsidRDefault="00EF5891" w:rsidP="00D904AA">
      <w:pPr>
        <w:contextualSpacing/>
        <w:rPr>
          <w:rFonts w:ascii="Trebuchet MS" w:hAnsi="Trebuchet MS"/>
          <w:snapToGrid w:val="0"/>
          <w:szCs w:val="20"/>
        </w:rPr>
      </w:pPr>
    </w:p>
    <w:p w:rsidR="006C7980" w:rsidRDefault="00845E95" w:rsidP="00845E95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>SAID, Edward. “Introdução”. In: Orientalismo: o Oriente como invenção do Ocidente. São Paulo, Companhia das Letras, 2001.</w:t>
      </w:r>
    </w:p>
    <w:p w:rsidR="00845E95" w:rsidRPr="006C7980" w:rsidRDefault="00845E95" w:rsidP="00845E95">
      <w:pPr>
        <w:contextualSpacing/>
        <w:rPr>
          <w:rFonts w:ascii="Trebuchet MS" w:hAnsi="Trebuchet MS"/>
          <w:snapToGrid w:val="0"/>
        </w:rPr>
      </w:pPr>
    </w:p>
    <w:p w:rsidR="006C7980" w:rsidRDefault="004A3998" w:rsidP="00845E95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 xml:space="preserve">ORTNER, </w:t>
      </w:r>
      <w:proofErr w:type="spellStart"/>
      <w:r w:rsidRPr="006C7980">
        <w:rPr>
          <w:rFonts w:ascii="Trebuchet MS" w:hAnsi="Trebuchet MS"/>
          <w:snapToGrid w:val="0"/>
        </w:rPr>
        <w:t>Sherry</w:t>
      </w:r>
      <w:proofErr w:type="spellEnd"/>
      <w:r w:rsidRPr="006C7980">
        <w:rPr>
          <w:rFonts w:ascii="Trebuchet MS" w:hAnsi="Trebuchet MS"/>
          <w:snapToGrid w:val="0"/>
        </w:rPr>
        <w:t xml:space="preserve">. “Está a mulher para o homem assim como a natureza para a cultura?” In: </w:t>
      </w:r>
      <w:r w:rsidR="002D45E5" w:rsidRPr="006C7980">
        <w:rPr>
          <w:rFonts w:ascii="Trebuchet MS" w:hAnsi="Trebuchet MS"/>
          <w:snapToGrid w:val="0"/>
        </w:rPr>
        <w:t xml:space="preserve">ROSALDO, M. Z. e LAMPHERE, L. </w:t>
      </w:r>
      <w:r w:rsidR="00BF38BC" w:rsidRPr="006C7980">
        <w:rPr>
          <w:rFonts w:ascii="Trebuchet MS" w:hAnsi="Trebuchet MS"/>
          <w:snapToGrid w:val="0"/>
        </w:rPr>
        <w:t>(</w:t>
      </w:r>
      <w:proofErr w:type="spellStart"/>
      <w:r w:rsidR="00BF38BC" w:rsidRPr="006C7980">
        <w:rPr>
          <w:rFonts w:ascii="Trebuchet MS" w:hAnsi="Trebuchet MS"/>
          <w:snapToGrid w:val="0"/>
        </w:rPr>
        <w:t>orgs</w:t>
      </w:r>
      <w:proofErr w:type="spellEnd"/>
      <w:r w:rsidR="00BF38BC" w:rsidRPr="006C7980">
        <w:rPr>
          <w:rFonts w:ascii="Trebuchet MS" w:hAnsi="Trebuchet MS"/>
          <w:snapToGrid w:val="0"/>
        </w:rPr>
        <w:t xml:space="preserve">.). A mulher, a cultura, a sociedade. </w:t>
      </w:r>
      <w:r w:rsidR="002C5474" w:rsidRPr="006C7980">
        <w:rPr>
          <w:rFonts w:ascii="Trebuchet MS" w:hAnsi="Trebuchet MS"/>
          <w:snapToGrid w:val="0"/>
        </w:rPr>
        <w:t>Rio de Janeiro, Ed. Paz e Terra, 1979. P. 95-120.</w:t>
      </w:r>
    </w:p>
    <w:p w:rsidR="004A3998" w:rsidRPr="006C7980" w:rsidRDefault="004A3998" w:rsidP="00845E95">
      <w:pPr>
        <w:contextualSpacing/>
        <w:rPr>
          <w:rFonts w:ascii="Trebuchet MS" w:hAnsi="Trebuchet MS"/>
          <w:snapToGrid w:val="0"/>
        </w:rPr>
      </w:pPr>
    </w:p>
    <w:p w:rsidR="00A730C4" w:rsidRPr="006C7980" w:rsidRDefault="00A730C4" w:rsidP="00A730C4">
      <w:pPr>
        <w:contextualSpacing/>
        <w:rPr>
          <w:rFonts w:ascii="Trebuchet MS" w:hAnsi="Trebuchet MS"/>
          <w:snapToGrid w:val="0"/>
        </w:rPr>
      </w:pPr>
      <w:r w:rsidRPr="006C7980">
        <w:rPr>
          <w:rFonts w:ascii="Trebuchet MS" w:hAnsi="Trebuchet MS"/>
          <w:snapToGrid w:val="0"/>
        </w:rPr>
        <w:t>LATOUR, Bruno. “Crise”, “Constituição” e “Relativismo”. In: Jamais fomos modernos. São Paulo, Ed. 34, 1994.</w:t>
      </w:r>
    </w:p>
    <w:p w:rsidR="00095678" w:rsidRDefault="00095678" w:rsidP="00095678">
      <w:pPr>
        <w:pStyle w:val="BodyText"/>
        <w:contextualSpacing/>
        <w:rPr>
          <w:rFonts w:ascii="Trebuchet MS" w:hAnsi="Trebuchet MS"/>
          <w:snapToGrid w:val="0"/>
          <w:sz w:val="20"/>
          <w:szCs w:val="20"/>
        </w:rPr>
      </w:pPr>
    </w:p>
    <w:sectPr w:rsidR="00095678" w:rsidSect="005F46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420D3E"/>
    <w:rsid w:val="00026238"/>
    <w:rsid w:val="00095678"/>
    <w:rsid w:val="000A501F"/>
    <w:rsid w:val="00142C6F"/>
    <w:rsid w:val="00171E39"/>
    <w:rsid w:val="00175749"/>
    <w:rsid w:val="00193C4C"/>
    <w:rsid w:val="001E0E09"/>
    <w:rsid w:val="00216C40"/>
    <w:rsid w:val="0026622C"/>
    <w:rsid w:val="002C5474"/>
    <w:rsid w:val="002D45E5"/>
    <w:rsid w:val="003128FE"/>
    <w:rsid w:val="003B5E73"/>
    <w:rsid w:val="003E212D"/>
    <w:rsid w:val="003E3C6F"/>
    <w:rsid w:val="00402C68"/>
    <w:rsid w:val="00420D3E"/>
    <w:rsid w:val="00437DB5"/>
    <w:rsid w:val="004A3998"/>
    <w:rsid w:val="004E607B"/>
    <w:rsid w:val="0053412F"/>
    <w:rsid w:val="00535584"/>
    <w:rsid w:val="005D500B"/>
    <w:rsid w:val="00607084"/>
    <w:rsid w:val="00623EDB"/>
    <w:rsid w:val="0063462E"/>
    <w:rsid w:val="006A5EED"/>
    <w:rsid w:val="006A60A0"/>
    <w:rsid w:val="006C7980"/>
    <w:rsid w:val="0071074D"/>
    <w:rsid w:val="007558F7"/>
    <w:rsid w:val="0076016D"/>
    <w:rsid w:val="00807B30"/>
    <w:rsid w:val="00845E95"/>
    <w:rsid w:val="00863FA5"/>
    <w:rsid w:val="00875602"/>
    <w:rsid w:val="00891346"/>
    <w:rsid w:val="008A4605"/>
    <w:rsid w:val="008B7CC2"/>
    <w:rsid w:val="008D5EDD"/>
    <w:rsid w:val="0091029E"/>
    <w:rsid w:val="00924C15"/>
    <w:rsid w:val="009767F5"/>
    <w:rsid w:val="00984D3E"/>
    <w:rsid w:val="009A17D1"/>
    <w:rsid w:val="009B0386"/>
    <w:rsid w:val="009B7D34"/>
    <w:rsid w:val="009C7ED0"/>
    <w:rsid w:val="009E1012"/>
    <w:rsid w:val="00A730C4"/>
    <w:rsid w:val="00A82D27"/>
    <w:rsid w:val="00A84EEF"/>
    <w:rsid w:val="00B23112"/>
    <w:rsid w:val="00B723A7"/>
    <w:rsid w:val="00BB4928"/>
    <w:rsid w:val="00BC274D"/>
    <w:rsid w:val="00BD5862"/>
    <w:rsid w:val="00BF38BC"/>
    <w:rsid w:val="00C05D43"/>
    <w:rsid w:val="00C9431E"/>
    <w:rsid w:val="00CA698B"/>
    <w:rsid w:val="00CA6F5B"/>
    <w:rsid w:val="00CE3935"/>
    <w:rsid w:val="00D30FEB"/>
    <w:rsid w:val="00D53F98"/>
    <w:rsid w:val="00D70F05"/>
    <w:rsid w:val="00D904AA"/>
    <w:rsid w:val="00DA00DE"/>
    <w:rsid w:val="00DC2FCF"/>
    <w:rsid w:val="00EF5891"/>
    <w:rsid w:val="00F56FE7"/>
    <w:rsid w:val="00FE78A0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2"/>
  </w:style>
  <w:style w:type="paragraph" w:styleId="Heading1">
    <w:name w:val="heading 1"/>
    <w:basedOn w:val="Normal"/>
    <w:next w:val="Normal"/>
    <w:link w:val="Heading1Char"/>
    <w:qFormat/>
    <w:rsid w:val="00420D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D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420D3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">
    <w:name w:val="Estilo"/>
    <w:rsid w:val="00420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2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20D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3164</Characters>
  <Application>Microsoft Word 12.0.0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Pondé Vassallo</dc:creator>
  <cp:lastModifiedBy>Renata de Sa Goncalves</cp:lastModifiedBy>
  <cp:revision>2</cp:revision>
  <dcterms:created xsi:type="dcterms:W3CDTF">2017-03-18T15:21:00Z</dcterms:created>
  <dcterms:modified xsi:type="dcterms:W3CDTF">2017-03-18T15:21:00Z</dcterms:modified>
</cp:coreProperties>
</file>